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53304F63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D43C28">
        <w:rPr>
          <w:rFonts w:cs="Arial"/>
          <w:color w:val="000000"/>
          <w:sz w:val="22"/>
        </w:rPr>
        <w:t>10</w:t>
      </w:r>
      <w:r w:rsidR="009B66B6">
        <w:rPr>
          <w:rFonts w:cs="Arial"/>
          <w:color w:val="000000"/>
          <w:sz w:val="22"/>
        </w:rPr>
        <w:t>.01</w:t>
      </w:r>
      <w:r w:rsidR="00D43C28">
        <w:rPr>
          <w:rFonts w:cs="Arial"/>
          <w:color w:val="000000"/>
          <w:sz w:val="22"/>
        </w:rPr>
        <w:t>.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D43C28">
        <w:rPr>
          <w:rFonts w:cs="Arial"/>
          <w:color w:val="000000"/>
          <w:sz w:val="22"/>
        </w:rPr>
        <w:t>6949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10F90F9" w:rsidR="000B2E35" w:rsidRPr="000B2E35" w:rsidRDefault="001414B0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ga 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2C3A6DE1" w:rsidR="00F44F1F" w:rsidRPr="00F44F1F" w:rsidRDefault="0057008B" w:rsidP="0057008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LC2075 „Purtse kohvik kinnistu elektriautode laadimisjaama liitumine, Purtse küla, Lüganuse vald, Ida-Viru maakond“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24E1D8CB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5E57D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Andres Koppel</w:t>
            </w:r>
          </w:p>
          <w:p w14:paraId="1AF8D9E3" w14:textId="133DDF49" w:rsidR="00A45F32" w:rsidRPr="000B2E35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1D4103EB" w:rsidR="000B2E35" w:rsidRPr="000B2E35" w:rsidRDefault="00BB5C56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B5C5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18.12.2024  nr 7.1-2/24/21434-2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74EAC6AC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E57DB">
              <w:rPr>
                <w:rFonts w:ascii="Times New Roman" w:hAnsi="Times New Roman"/>
                <w:b/>
                <w:lang w:val="et-EE"/>
              </w:rPr>
              <w:t>13</w:t>
            </w:r>
            <w:r w:rsidR="00BF237B">
              <w:rPr>
                <w:rFonts w:ascii="Times New Roman" w:hAnsi="Times New Roman"/>
                <w:b/>
                <w:lang w:val="et-EE"/>
              </w:rPr>
              <w:t>119 Purtse-Hiie</w:t>
            </w:r>
            <w:r w:rsidR="005E57DB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06B5F308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BF237B">
              <w:rPr>
                <w:rFonts w:ascii="Times New Roman" w:hAnsi="Times New Roman"/>
                <w:bCs/>
                <w:lang w:val="et-EE"/>
              </w:rPr>
              <w:t>43701:002:0191</w:t>
            </w:r>
          </w:p>
          <w:p w14:paraId="573BFF07" w14:textId="0A03AEDA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BF237B">
              <w:rPr>
                <w:rFonts w:ascii="Times New Roman" w:hAnsi="Times New Roman"/>
                <w:bCs/>
                <w:lang w:val="et-EE"/>
              </w:rPr>
              <w:t>4266950</w:t>
            </w:r>
          </w:p>
          <w:p w14:paraId="33B38F87" w14:textId="6307D3B6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96525">
              <w:rPr>
                <w:rFonts w:ascii="Times New Roman" w:hAnsi="Times New Roman"/>
                <w:bCs/>
                <w:lang w:val="et-EE"/>
              </w:rPr>
              <w:t>1311</w:t>
            </w:r>
            <w:r w:rsidR="00D079D2">
              <w:rPr>
                <w:rFonts w:ascii="Times New Roman" w:hAnsi="Times New Roman"/>
                <w:bCs/>
                <w:lang w:val="et-EE"/>
              </w:rPr>
              <w:t>9</w:t>
            </w:r>
            <w:r w:rsidR="00396525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D079D2">
              <w:rPr>
                <w:rFonts w:ascii="Times New Roman" w:hAnsi="Times New Roman"/>
                <w:bCs/>
                <w:lang w:val="et-EE"/>
              </w:rPr>
              <w:t xml:space="preserve">Purtse-Hiie 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0950517D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079D2">
              <w:rPr>
                <w:rFonts w:ascii="Times New Roman" w:hAnsi="Times New Roman"/>
                <w:bCs/>
                <w:lang w:val="et-EE"/>
              </w:rPr>
              <w:t>8113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68F0017A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D079D2">
              <w:rPr>
                <w:rFonts w:ascii="Times New Roman" w:hAnsi="Times New Roman"/>
                <w:bCs/>
                <w:lang w:val="et-EE"/>
              </w:rPr>
              <w:t>634894</w:t>
            </w:r>
          </w:p>
          <w:p w14:paraId="19CE75E4" w14:textId="5DF7FE35" w:rsidR="00567499" w:rsidRPr="000B2E35" w:rsidRDefault="004B2AD7" w:rsidP="004C0FF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5653CB">
                <w:rPr>
                  <w:rStyle w:val="Hyperlink"/>
                </w:rPr>
                <w:t>https://pari.kataster.ee/magic-link/c76ed5b2-1b20-4f61-b51d-30bb57906669</w:t>
              </w:r>
            </w:hyperlink>
            <w:r>
              <w:t xml:space="preserve"> </w:t>
            </w:r>
            <w:r w:rsidR="009B66B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FC7" w14:textId="77777777" w:rsidR="00AB5FDC" w:rsidRDefault="00AB5FDC">
      <w:r>
        <w:separator/>
      </w:r>
    </w:p>
  </w:endnote>
  <w:endnote w:type="continuationSeparator" w:id="0">
    <w:p w14:paraId="7B3C5153" w14:textId="77777777" w:rsidR="00AB5FDC" w:rsidRDefault="00AB5FDC">
      <w:r>
        <w:continuationSeparator/>
      </w:r>
    </w:p>
  </w:endnote>
  <w:endnote w:type="continuationNotice" w:id="1">
    <w:p w14:paraId="7249276D" w14:textId="77777777" w:rsidR="00AB5FDC" w:rsidRDefault="00AB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334F" w14:textId="77777777" w:rsidR="00AB5FDC" w:rsidRDefault="00AB5FDC">
      <w:r>
        <w:separator/>
      </w:r>
    </w:p>
  </w:footnote>
  <w:footnote w:type="continuationSeparator" w:id="0">
    <w:p w14:paraId="7EA3D70D" w14:textId="77777777" w:rsidR="00AB5FDC" w:rsidRDefault="00AB5FDC">
      <w:r>
        <w:continuationSeparator/>
      </w:r>
    </w:p>
  </w:footnote>
  <w:footnote w:type="continuationNotice" w:id="1">
    <w:p w14:paraId="742E3753" w14:textId="77777777" w:rsidR="00AB5FDC" w:rsidRDefault="00AB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14B0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B2AD7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47C65"/>
    <w:rsid w:val="00556D7B"/>
    <w:rsid w:val="005572A4"/>
    <w:rsid w:val="00557995"/>
    <w:rsid w:val="005609D0"/>
    <w:rsid w:val="00567499"/>
    <w:rsid w:val="00567C35"/>
    <w:rsid w:val="0057008B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2AA4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B5C56"/>
    <w:rsid w:val="00BC1AED"/>
    <w:rsid w:val="00BC2385"/>
    <w:rsid w:val="00BC2734"/>
    <w:rsid w:val="00BC62D7"/>
    <w:rsid w:val="00BE57AB"/>
    <w:rsid w:val="00BF064F"/>
    <w:rsid w:val="00BF086F"/>
    <w:rsid w:val="00BF0E4C"/>
    <w:rsid w:val="00BF237B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079D2"/>
    <w:rsid w:val="00D24041"/>
    <w:rsid w:val="00D25D80"/>
    <w:rsid w:val="00D266EA"/>
    <w:rsid w:val="00D27110"/>
    <w:rsid w:val="00D31BD2"/>
    <w:rsid w:val="00D43C28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c76ed5b2-1b20-4f61-b51d-30bb579066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1751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2025-01-10T13:10:00Z</dcterms:created>
  <dcterms:modified xsi:type="dcterms:W3CDTF">2025-01-10T13:10:00Z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